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3.jpeg" ContentType="image/jpe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ascii="Verdana" w:hAnsi="Verdana"/>
          <w:b/>
          <w:bCs/>
          <w:sz w:val="32"/>
          <w:szCs w:val="20"/>
          <w:lang w:val="en-US"/>
        </w:rPr>
        <w:t>A green breakthrough for the commercial and business sector: C</w:t>
      </w:r>
      <w:r>
        <w:rPr>
          <w:rFonts w:ascii="Verdana" w:hAnsi="Verdana"/>
          <w:b/>
          <w:bCs/>
          <w:sz w:val="32"/>
          <w:szCs w:val="20"/>
          <w:lang w:val="en-US"/>
        </w:rPr>
        <w:t>om</w:t>
      </w:r>
      <w:r>
        <w:rPr>
          <w:rFonts w:ascii="Verdana" w:hAnsi="Verdana"/>
          <w:b/>
          <w:bCs/>
          <w:sz w:val="32"/>
          <w:szCs w:val="20"/>
          <w:lang w:val="en-US"/>
        </w:rPr>
        <w:t>S</w:t>
      </w:r>
      <w:r>
        <w:rPr>
          <w:rFonts w:ascii="Verdana" w:hAnsi="Verdana"/>
          <w:b/>
          <w:bCs/>
          <w:sz w:val="32"/>
          <w:szCs w:val="20"/>
          <w:lang w:val="en-US"/>
        </w:rPr>
        <w:t>os</w:t>
      </w:r>
      <w:r>
        <w:rPr>
          <w:rFonts w:ascii="Verdana" w:hAnsi="Verdana"/>
          <w:b/>
          <w:bCs/>
          <w:sz w:val="32"/>
          <w:szCs w:val="20"/>
          <w:lang w:val="en-US"/>
        </w:rPr>
        <w:t xml:space="preserve"> Project is here</w:t>
      </w:r>
    </w:p>
    <w:p>
      <w:pPr>
        <w:pStyle w:val="Normal"/>
        <w:jc w:val="center"/>
        <w:rPr>
          <w:rFonts w:ascii="Verdana" w:hAnsi="Verdana"/>
          <w:i/>
          <w:i/>
          <w:sz w:val="20"/>
          <w:szCs w:val="20"/>
          <w:lang w:val="en-US"/>
        </w:rPr>
      </w:pPr>
      <w:r>
        <w:rPr>
          <w:rFonts w:ascii="Verdana" w:hAnsi="Verdana"/>
          <w:i/>
          <w:sz w:val="20"/>
          <w:szCs w:val="20"/>
          <w:lang w:val="en-US"/>
        </w:rPr>
        <w:t>The EU-funded project aims to install 25 high efficiency and zero emissions Solid Oxide Fuel Cell systems in the commercial and business sector</w:t>
      </w:r>
    </w:p>
    <w:p>
      <w:pPr>
        <w:pStyle w:val="Normal"/>
        <w:rPr>
          <w:rFonts w:ascii="Verdana" w:hAnsi="Verdana"/>
          <w:sz w:val="20"/>
          <w:szCs w:val="20"/>
          <w:lang w:val="en-US"/>
        </w:rPr>
      </w:pPr>
      <w:r>
        <w:rPr>
          <w:rFonts w:ascii="Verdana" w:hAnsi="Verdana"/>
          <w:sz w:val="20"/>
          <w:szCs w:val="20"/>
          <w:lang w:val="en-US"/>
        </w:rPr>
      </w:r>
    </w:p>
    <w:p>
      <w:pPr>
        <w:pStyle w:val="Normal"/>
        <w:rPr>
          <w:rFonts w:ascii="Verdana" w:hAnsi="Verdana"/>
          <w:sz w:val="20"/>
          <w:szCs w:val="20"/>
          <w:lang w:val="en-US"/>
        </w:rPr>
      </w:pPr>
      <w:r>
        <w:rPr>
          <w:rFonts w:ascii="Verdana" w:hAnsi="Verdana"/>
          <w:sz w:val="20"/>
          <w:szCs w:val="20"/>
          <w:lang w:val="en-US"/>
        </w:rPr>
      </w:r>
    </w:p>
    <w:p>
      <w:pPr>
        <w:pStyle w:val="Normal"/>
        <w:jc w:val="both"/>
        <w:rPr>
          <w:rFonts w:ascii="Verdana" w:hAnsi="Verdana"/>
          <w:sz w:val="20"/>
          <w:szCs w:val="20"/>
          <w:lang w:val="en-US"/>
        </w:rPr>
      </w:pPr>
      <w:r>
        <w:rPr>
          <w:rFonts w:ascii="Verdana" w:hAnsi="Verdana"/>
          <w:sz w:val="20"/>
          <w:szCs w:val="20"/>
          <w:lang w:val="en-US"/>
        </w:rPr>
      </w:r>
    </w:p>
    <w:p>
      <w:pPr>
        <w:pStyle w:val="Normal"/>
        <w:jc w:val="both"/>
        <w:rPr>
          <w:lang w:val="en-US"/>
        </w:rPr>
      </w:pPr>
      <w:r>
        <w:rPr>
          <w:rFonts w:ascii="Verdana" w:hAnsi="Verdana"/>
          <w:sz w:val="20"/>
          <w:szCs w:val="20"/>
          <w:lang w:val="en-US"/>
        </w:rPr>
        <w:t>Worries about climate change, warmer average temperatures and international campaigns about environmental issues, from ocean’s plastic pollution to CO</w:t>
      </w:r>
      <w:r>
        <w:rPr>
          <w:rFonts w:ascii="Verdana" w:hAnsi="Verdana"/>
          <w:sz w:val="20"/>
          <w:szCs w:val="20"/>
          <w:vertAlign w:val="subscript"/>
          <w:lang w:val="en-US"/>
        </w:rPr>
        <w:t>2</w:t>
      </w:r>
      <w:r>
        <w:rPr>
          <w:rFonts w:ascii="Verdana" w:hAnsi="Verdana"/>
          <w:sz w:val="20"/>
          <w:szCs w:val="20"/>
          <w:lang w:val="en-US"/>
        </w:rPr>
        <w:t xml:space="preserve"> emissions, have raised a new sensitivity on environment as a key factor for development. As a matter of fact, climate change is showing its negative effect on lifestyle and its impact on local economies due to extreme events like floodings, droughts, stormy and unpredictable weather. Thus, a new </w:t>
      </w:r>
      <w:r>
        <w:rPr>
          <w:rFonts w:ascii="Verdana" w:hAnsi="Verdana"/>
          <w:b/>
          <w:bCs/>
          <w:sz w:val="20"/>
          <w:szCs w:val="20"/>
          <w:lang w:val="en-US"/>
        </w:rPr>
        <w:t>customer’s environmental sensitivity</w:t>
      </w:r>
      <w:r>
        <w:rPr>
          <w:rFonts w:ascii="Verdana" w:hAnsi="Verdana"/>
          <w:sz w:val="20"/>
          <w:szCs w:val="20"/>
          <w:lang w:val="en-US"/>
        </w:rPr>
        <w:t xml:space="preserve"> pushed to ask brands for more ethical choices. Environment is on top of the list and companies are more and more involved in marketing campaigns devoted to show how their products meet green requirements across the entire value chain, from raw material up to recycling at the end of the product’s lifecycle. </w:t>
        <w:br/>
      </w:r>
      <w:r>
        <w:rPr>
          <w:rFonts w:ascii="Verdana" w:hAnsi="Verdana"/>
          <w:b/>
          <w:bCs/>
          <w:sz w:val="20"/>
          <w:szCs w:val="20"/>
          <w:lang w:val="en-US"/>
        </w:rPr>
        <w:t>Environmental issues</w:t>
      </w:r>
      <w:r>
        <w:rPr>
          <w:rFonts w:ascii="Verdana" w:hAnsi="Verdana"/>
          <w:sz w:val="20"/>
          <w:szCs w:val="20"/>
          <w:lang w:val="en-US"/>
        </w:rPr>
        <w:t xml:space="preserve"> are therefore a </w:t>
      </w:r>
      <w:r>
        <w:rPr>
          <w:rFonts w:ascii="Verdana" w:hAnsi="Verdana"/>
          <w:b/>
          <w:bCs/>
          <w:sz w:val="20"/>
          <w:szCs w:val="20"/>
          <w:lang w:val="en-US"/>
        </w:rPr>
        <w:t>marketing leverage</w:t>
      </w:r>
      <w:r>
        <w:rPr>
          <w:rFonts w:ascii="Verdana" w:hAnsi="Verdana"/>
          <w:sz w:val="20"/>
          <w:szCs w:val="20"/>
          <w:lang w:val="en-US"/>
        </w:rPr>
        <w:t xml:space="preserve"> to be used in advertising campaign supporting the product but also a compulsory requirement in many national legislation. The choice to look at </w:t>
      </w:r>
      <w:r>
        <w:rPr>
          <w:rFonts w:ascii="Verdana" w:hAnsi="Verdana"/>
          <w:b/>
          <w:bCs/>
          <w:sz w:val="20"/>
          <w:szCs w:val="20"/>
          <w:lang w:val="en-US"/>
        </w:rPr>
        <w:t>green energy</w:t>
      </w:r>
      <w:r>
        <w:rPr>
          <w:rFonts w:ascii="Verdana" w:hAnsi="Verdana"/>
          <w:sz w:val="20"/>
          <w:szCs w:val="20"/>
          <w:lang w:val="en-US"/>
        </w:rPr>
        <w:t xml:space="preserve"> has recently taken a major role in both, innovation in production and advertising, underlining the impact of environmental issues as a contribution to C02 emissions and climate change reduction strategies. As a matter of fact, since 2015 mayor European and American brands like </w:t>
      </w:r>
      <w:r>
        <w:rPr>
          <w:rFonts w:ascii="Verdana" w:hAnsi="Verdana"/>
          <w:b/>
          <w:bCs/>
          <w:sz w:val="20"/>
          <w:szCs w:val="20"/>
          <w:lang w:val="en-US"/>
        </w:rPr>
        <w:t>IKEA, Marks&amp;Spencer, Walmart, ASDA</w:t>
      </w:r>
      <w:r>
        <w:rPr>
          <w:rFonts w:ascii="Verdana" w:hAnsi="Verdana"/>
          <w:sz w:val="20"/>
          <w:szCs w:val="20"/>
          <w:lang w:val="en-US"/>
        </w:rPr>
        <w:t xml:space="preserve"> have set a target of using 100% of renewables with positive effects on their business from a marketing and business point of view. </w:t>
      </w:r>
      <w:r>
        <w:rPr>
          <w:rFonts w:ascii="Verdana" w:hAnsi="Verdana"/>
          <w:b/>
          <w:bCs/>
          <w:sz w:val="20"/>
          <w:szCs w:val="20"/>
          <w:lang w:val="en-US"/>
        </w:rPr>
        <w:t>Walmart</w:t>
      </w:r>
      <w:r>
        <w:rPr>
          <w:rFonts w:ascii="Verdana" w:hAnsi="Verdana"/>
          <w:sz w:val="20"/>
          <w:szCs w:val="20"/>
          <w:lang w:val="en-US"/>
        </w:rPr>
        <w:t xml:space="preserve">, a major US brand, declared to have reached a </w:t>
      </w:r>
      <w:r>
        <w:rPr>
          <w:rFonts w:ascii="Verdana" w:hAnsi="Verdana"/>
          <w:b/>
          <w:bCs/>
          <w:sz w:val="20"/>
          <w:szCs w:val="20"/>
          <w:lang w:val="en-US"/>
        </w:rPr>
        <w:t>70 million kilowatt-hours (kWh)</w:t>
      </w:r>
      <w:r>
        <w:rPr>
          <w:rFonts w:ascii="Verdana" w:hAnsi="Verdana"/>
          <w:sz w:val="20"/>
          <w:szCs w:val="20"/>
          <w:lang w:val="en-US"/>
        </w:rPr>
        <w:t xml:space="preserve"> of renewable clean solar energy per year, which is the </w:t>
      </w:r>
      <w:r>
        <w:rPr>
          <w:rFonts w:ascii="Verdana" w:hAnsi="Verdana"/>
          <w:b/>
          <w:bCs/>
          <w:sz w:val="20"/>
          <w:szCs w:val="20"/>
          <w:lang w:val="en-US"/>
        </w:rPr>
        <w:t>average consumption of 5400 homes</w:t>
      </w:r>
      <w:r>
        <w:rPr>
          <w:rFonts w:ascii="Verdana" w:hAnsi="Verdana"/>
          <w:sz w:val="20"/>
          <w:szCs w:val="20"/>
          <w:lang w:val="en-US"/>
        </w:rPr>
        <w:t>.</w:t>
      </w:r>
    </w:p>
    <w:p>
      <w:pPr>
        <w:pStyle w:val="Normal"/>
        <w:jc w:val="both"/>
        <w:rPr>
          <w:rFonts w:ascii="Verdana" w:hAnsi="Verdana"/>
          <w:sz w:val="20"/>
          <w:szCs w:val="20"/>
          <w:lang w:val="en-US"/>
        </w:rPr>
      </w:pPr>
      <w:r>
        <w:rPr>
          <w:rFonts w:ascii="Verdana" w:hAnsi="Verdana"/>
          <w:sz w:val="20"/>
          <w:szCs w:val="20"/>
          <w:lang w:val="en-US"/>
        </w:rPr>
      </w:r>
    </w:p>
    <w:p>
      <w:pPr>
        <w:pStyle w:val="Normal"/>
        <w:jc w:val="both"/>
        <w:rPr>
          <w:lang w:val="en-US"/>
        </w:rPr>
      </w:pPr>
      <w:r>
        <w:rPr>
          <w:rFonts w:ascii="Verdana" w:hAnsi="Verdana"/>
          <w:sz w:val="20"/>
          <w:szCs w:val="20"/>
          <w:lang w:val="en-US"/>
        </w:rPr>
        <w:t xml:space="preserve">Following the path of this green revolution, a group of EU companies and research centers have developed the </w:t>
      </w:r>
      <w:r>
        <w:rPr>
          <w:rFonts w:ascii="Verdana" w:hAnsi="Verdana"/>
          <w:b/>
          <w:sz w:val="20"/>
          <w:szCs w:val="20"/>
          <w:lang w:val="en-US"/>
        </w:rPr>
        <w:t>ComSos - Commercial-scale SOFC systems –</w:t>
      </w:r>
      <w:r>
        <w:rPr>
          <w:rFonts w:ascii="Verdana" w:hAnsi="Verdana"/>
          <w:sz w:val="20"/>
          <w:szCs w:val="20"/>
          <w:lang w:val="en-US"/>
        </w:rPr>
        <w:t xml:space="preserve"> project that aims to bring the advantages of </w:t>
      </w:r>
      <w:r>
        <w:rPr>
          <w:rFonts w:ascii="Verdana" w:hAnsi="Verdana"/>
          <w:b/>
          <w:bCs/>
          <w:sz w:val="20"/>
          <w:szCs w:val="20"/>
          <w:lang w:val="en-US"/>
        </w:rPr>
        <w:t>zero emissions and fuel cell technology</w:t>
      </w:r>
      <w:r>
        <w:rPr>
          <w:rFonts w:ascii="Verdana" w:hAnsi="Verdana"/>
          <w:sz w:val="20"/>
          <w:szCs w:val="20"/>
          <w:lang w:val="en-US"/>
        </w:rPr>
        <w:t xml:space="preserve"> to the </w:t>
      </w:r>
      <w:r>
        <w:rPr>
          <w:rFonts w:ascii="Verdana" w:hAnsi="Verdana"/>
          <w:b/>
          <w:bCs/>
          <w:sz w:val="20"/>
          <w:szCs w:val="20"/>
          <w:lang w:val="en-US"/>
        </w:rPr>
        <w:t>commercial sector</w:t>
      </w:r>
      <w:r>
        <w:rPr>
          <w:rFonts w:ascii="Verdana" w:hAnsi="Verdana"/>
          <w:sz w:val="20"/>
          <w:szCs w:val="20"/>
          <w:lang w:val="en-US"/>
        </w:rPr>
        <w:t xml:space="preserve">. </w:t>
        <w:br/>
        <w:t xml:space="preserve">As a matter of fact, the HORIZON2020 EU funded project involves the demonstration of fuel-cell based energy solutions in real client environments, in cooperation with leading European system experts. </w:t>
      </w:r>
    </w:p>
    <w:p>
      <w:pPr>
        <w:pStyle w:val="TextBody"/>
        <w:spacing w:lineRule="auto" w:line="240" w:before="0" w:after="0"/>
        <w:jc w:val="both"/>
        <w:rPr>
          <w:lang w:val="en-US"/>
        </w:rPr>
      </w:pPr>
      <w:r>
        <w:rPr>
          <w:rFonts w:ascii="Verdana" w:hAnsi="Verdana"/>
          <w:sz w:val="20"/>
          <w:szCs w:val="20"/>
          <w:lang w:val="en-US"/>
        </w:rPr>
        <w:t xml:space="preserve">Through the project, </w:t>
      </w:r>
      <w:r>
        <w:rPr>
          <w:rFonts w:ascii="Verdana" w:hAnsi="Verdana"/>
          <w:b/>
          <w:bCs/>
          <w:sz w:val="20"/>
          <w:szCs w:val="20"/>
          <w:lang w:val="en-US"/>
        </w:rPr>
        <w:t>manufacturers</w:t>
      </w:r>
      <w:r>
        <w:rPr>
          <w:rFonts w:ascii="Verdana" w:hAnsi="Verdana"/>
          <w:sz w:val="20"/>
          <w:szCs w:val="20"/>
          <w:lang w:val="en-US"/>
        </w:rPr>
        <w:t xml:space="preserve"> may take advantage in developing capacity for serial manufacturing, sales and marketing of </w:t>
      </w:r>
      <w:r>
        <w:rPr>
          <w:rFonts w:ascii="Verdana" w:hAnsi="Verdana"/>
          <w:b/>
          <w:bCs/>
          <w:sz w:val="20"/>
          <w:szCs w:val="20"/>
          <w:lang w:val="en-US"/>
        </w:rPr>
        <w:t xml:space="preserve">Mini Fuel Cell Combined Heat and Power (Mini FC-CHP) products in the </w:t>
      </w:r>
      <w:r>
        <w:rPr>
          <w:rFonts w:ascii="Verdana" w:hAnsi="Verdana"/>
          <w:sz w:val="20"/>
          <w:szCs w:val="20"/>
          <w:lang w:val="en-US"/>
        </w:rPr>
        <w:t xml:space="preserve">power ranges of </w:t>
      </w:r>
      <w:r>
        <w:rPr>
          <w:rFonts w:ascii="Verdana" w:hAnsi="Verdana"/>
          <w:b/>
          <w:sz w:val="20"/>
          <w:szCs w:val="20"/>
          <w:lang w:val="en-US"/>
        </w:rPr>
        <w:t>10-</w:t>
      </w:r>
      <w:r>
        <w:rPr>
          <w:rFonts w:ascii="Verdana" w:hAnsi="Verdana"/>
          <w:b/>
          <w:bCs/>
          <w:sz w:val="20"/>
          <w:szCs w:val="20"/>
          <w:lang w:val="en-US"/>
        </w:rPr>
        <w:t>12 kW, 20-25 kW, and 50-60 kW</w:t>
      </w:r>
      <w:r>
        <w:rPr>
          <w:rFonts w:ascii="Verdana" w:hAnsi="Verdana"/>
          <w:sz w:val="20"/>
          <w:szCs w:val="20"/>
          <w:lang w:val="en-US"/>
        </w:rPr>
        <w:t xml:space="preserve">. All </w:t>
      </w:r>
      <w:r>
        <w:rPr>
          <w:rFonts w:ascii="Verdana" w:hAnsi="Verdana"/>
          <w:b/>
          <w:bCs/>
          <w:sz w:val="20"/>
          <w:szCs w:val="20"/>
          <w:lang w:val="en-US"/>
        </w:rPr>
        <w:t xml:space="preserve">manufacturers will validate new product segments </w:t>
      </w:r>
      <w:r>
        <w:rPr>
          <w:rFonts w:ascii="Verdana" w:hAnsi="Verdana"/>
          <w:sz w:val="20"/>
          <w:szCs w:val="20"/>
          <w:lang w:val="en-US"/>
        </w:rPr>
        <w:t xml:space="preserve">in collaboration with the respective customers, confirm product performance, business case, size, and test in real life the distribution channel including maintenance and service. Based on findings related to the specific segments, the system will be suitable for volumes from few 10’s to several 1000 systems per year. As a matter of fact, the project aims at </w:t>
      </w:r>
      <w:r>
        <w:rPr>
          <w:rFonts w:ascii="Verdana" w:hAnsi="Verdana"/>
          <w:b/>
          <w:sz w:val="20"/>
          <w:szCs w:val="20"/>
          <w:lang w:val="en-US"/>
        </w:rPr>
        <w:t xml:space="preserve">strengthening the European SOFC industry’s world-leading position </w:t>
      </w:r>
      <w:r>
        <w:rPr>
          <w:rFonts w:ascii="Verdana" w:hAnsi="Verdana"/>
          <w:sz w:val="20"/>
          <w:szCs w:val="20"/>
          <w:lang w:val="en-US"/>
        </w:rPr>
        <w:t>for SOFC products in the range of 10- 60 kW.</w:t>
      </w:r>
    </w:p>
    <w:p>
      <w:pPr>
        <w:pStyle w:val="TextBody"/>
        <w:spacing w:lineRule="auto" w:line="240" w:before="0" w:after="0"/>
        <w:rPr>
          <w:rFonts w:ascii="Verdana" w:hAnsi="Verdana"/>
          <w:lang w:val="en-US"/>
        </w:rPr>
      </w:pPr>
      <w:r>
        <w:rPr>
          <w:rFonts w:ascii="Verdana" w:hAnsi="Verdana"/>
          <w:lang w:val="en-US"/>
        </w:rPr>
      </w:r>
    </w:p>
    <w:p>
      <w:pPr>
        <w:pStyle w:val="TextBody"/>
        <w:spacing w:lineRule="auto" w:line="240" w:before="0" w:after="0"/>
        <w:jc w:val="both"/>
        <w:rPr>
          <w:rFonts w:ascii="Verdana" w:hAnsi="Verdana"/>
          <w:sz w:val="20"/>
          <w:szCs w:val="20"/>
          <w:lang w:val="en-US"/>
        </w:rPr>
      </w:pPr>
      <w:r>
        <w:rPr>
          <w:rFonts w:ascii="Verdana" w:hAnsi="Verdana"/>
          <w:sz w:val="20"/>
          <w:szCs w:val="20"/>
          <w:lang w:val="en-US"/>
        </w:rPr>
      </w:r>
    </w:p>
    <w:p>
      <w:pPr>
        <w:pStyle w:val="TextBody"/>
        <w:spacing w:lineRule="auto" w:line="240" w:before="0" w:after="0"/>
        <w:jc w:val="both"/>
        <w:rPr>
          <w:rFonts w:ascii="Verdana" w:hAnsi="Verdana"/>
          <w:sz w:val="20"/>
          <w:szCs w:val="20"/>
          <w:lang w:val="en-US"/>
        </w:rPr>
      </w:pPr>
      <w:r>
        <w:rPr>
          <w:rFonts w:ascii="Verdana" w:hAnsi="Verdana"/>
          <w:sz w:val="20"/>
          <w:szCs w:val="20"/>
          <w:lang w:val="en-US"/>
        </w:rPr>
        <w:t xml:space="preserve">The ComSos project will implement </w:t>
      </w:r>
      <w:r>
        <w:rPr>
          <w:rFonts w:ascii="Verdana" w:hAnsi="Verdana"/>
          <w:b/>
          <w:sz w:val="20"/>
          <w:szCs w:val="20"/>
          <w:lang w:val="en-US"/>
        </w:rPr>
        <w:t xml:space="preserve">25 SOFC technology-based power generation solutions around the world </w:t>
      </w:r>
      <w:r>
        <w:rPr>
          <w:rFonts w:ascii="Verdana" w:hAnsi="Verdana"/>
          <w:sz w:val="20"/>
          <w:szCs w:val="20"/>
          <w:lang w:val="en-US"/>
        </w:rPr>
        <w:t xml:space="preserve">bringing the commercial sector to an unprecedented </w:t>
      </w:r>
      <w:r>
        <w:rPr>
          <w:rFonts w:ascii="Verdana" w:hAnsi="Verdana"/>
          <w:b/>
          <w:sz w:val="20"/>
          <w:szCs w:val="20"/>
          <w:lang w:val="en-US"/>
        </w:rPr>
        <w:t xml:space="preserve">high efficiency </w:t>
      </w:r>
      <w:r>
        <w:rPr>
          <w:rFonts w:ascii="Verdana" w:hAnsi="Verdana"/>
          <w:sz w:val="20"/>
          <w:szCs w:val="20"/>
          <w:lang w:val="en-US"/>
        </w:rPr>
        <w:t xml:space="preserve">and </w:t>
      </w:r>
      <w:r>
        <w:rPr>
          <w:rFonts w:ascii="Verdana" w:hAnsi="Verdana"/>
          <w:b/>
          <w:sz w:val="20"/>
          <w:szCs w:val="20"/>
          <w:lang w:val="en-US"/>
        </w:rPr>
        <w:t xml:space="preserve">environmentally friendly </w:t>
      </w:r>
      <w:r>
        <w:rPr>
          <w:rFonts w:ascii="Verdana" w:hAnsi="Verdana"/>
          <w:sz w:val="20"/>
          <w:szCs w:val="20"/>
          <w:lang w:val="en-US"/>
        </w:rPr>
        <w:t xml:space="preserve">approach to energy consumption.  </w:t>
      </w:r>
    </w:p>
    <w:p>
      <w:pPr>
        <w:pStyle w:val="TextBody"/>
        <w:spacing w:lineRule="auto" w:line="240" w:before="0" w:after="0"/>
        <w:jc w:val="both"/>
        <w:rPr>
          <w:rFonts w:ascii="Verdana" w:hAnsi="Verdana"/>
          <w:sz w:val="20"/>
          <w:szCs w:val="20"/>
          <w:lang w:val="en-US"/>
        </w:rPr>
      </w:pPr>
      <w:r>
        <w:rPr>
          <w:rFonts w:ascii="Verdana" w:hAnsi="Verdana"/>
          <w:sz w:val="20"/>
          <w:szCs w:val="20"/>
          <w:lang w:val="en-US"/>
        </w:rPr>
        <w:t xml:space="preserve">Innovative, commercial and energy-efficient SOFC applications are thus emerging from the project which will provide clear evidence to the commercial sector, the building sector and the general public of the </w:t>
      </w:r>
      <w:r>
        <w:rPr>
          <w:rFonts w:ascii="Verdana" w:hAnsi="Verdana"/>
          <w:b/>
          <w:sz w:val="20"/>
          <w:szCs w:val="20"/>
          <w:lang w:val="en-US"/>
        </w:rPr>
        <w:t>key advantages of SOFC systems:</w:t>
      </w:r>
      <w:r>
        <w:rPr>
          <w:rFonts w:ascii="Verdana" w:hAnsi="Verdana"/>
          <w:sz w:val="20"/>
          <w:szCs w:val="20"/>
          <w:lang w:val="en-US"/>
        </w:rPr>
        <w:t xml:space="preserve"> high electrical efficiency (up to 60%, the highest achievable among competitors), modularity and zero emissions to atmosphere (NO</w:t>
      </w:r>
      <w:r>
        <w:rPr>
          <w:rFonts w:ascii="Verdana" w:hAnsi="Verdana"/>
          <w:sz w:val="20"/>
          <w:szCs w:val="20"/>
          <w:vertAlign w:val="subscript"/>
          <w:lang w:val="en-US"/>
        </w:rPr>
        <w:t>x</w:t>
      </w:r>
      <w:r>
        <w:rPr>
          <w:rFonts w:ascii="Verdana" w:hAnsi="Verdana"/>
          <w:sz w:val="20"/>
          <w:szCs w:val="20"/>
          <w:lang w:val="en-US"/>
        </w:rPr>
        <w:t>, SO</w:t>
      </w:r>
      <w:r>
        <w:rPr>
          <w:rFonts w:ascii="Verdana" w:hAnsi="Verdana"/>
          <w:sz w:val="20"/>
          <w:szCs w:val="20"/>
          <w:vertAlign w:val="subscript"/>
          <w:lang w:val="en-US"/>
        </w:rPr>
        <w:t>x</w:t>
      </w:r>
      <w:r>
        <w:rPr>
          <w:rFonts w:ascii="Verdana" w:hAnsi="Verdana"/>
          <w:sz w:val="20"/>
          <w:szCs w:val="20"/>
          <w:lang w:val="en-US"/>
        </w:rPr>
        <w:t xml:space="preserve">, PM, VOC ...). </w:t>
      </w:r>
    </w:p>
    <w:p>
      <w:pPr>
        <w:pStyle w:val="TextBody"/>
        <w:spacing w:lineRule="auto" w:line="240" w:before="0" w:after="0"/>
        <w:jc w:val="both"/>
        <w:rPr>
          <w:rFonts w:ascii="Verdana" w:hAnsi="Verdana"/>
          <w:sz w:val="20"/>
          <w:szCs w:val="20"/>
          <w:lang w:val="en-US"/>
        </w:rPr>
      </w:pPr>
      <w:r>
        <w:rPr>
          <w:rFonts w:ascii="Verdana" w:hAnsi="Verdana"/>
          <w:sz w:val="20"/>
          <w:szCs w:val="20"/>
          <w:lang w:val="en-US"/>
        </w:rPr>
      </w:r>
    </w:p>
    <w:p>
      <w:pPr>
        <w:pStyle w:val="TextBody"/>
        <w:spacing w:lineRule="auto" w:line="240" w:before="0" w:after="0"/>
        <w:jc w:val="both"/>
        <w:rPr>
          <w:b w:val="false"/>
          <w:b w:val="false"/>
          <w:bCs w:val="false"/>
        </w:rPr>
      </w:pPr>
      <w:r>
        <w:rPr>
          <w:rFonts w:ascii="Verdana" w:hAnsi="Verdana"/>
          <w:b w:val="false"/>
          <w:bCs w:val="false"/>
          <w:sz w:val="20"/>
          <w:szCs w:val="20"/>
          <w:lang w:val="en-US"/>
        </w:rPr>
        <w:t xml:space="preserve">Moreover, for companies that are interested </w:t>
      </w:r>
      <w:r>
        <w:rPr>
          <w:rFonts w:ascii="Verdana" w:hAnsi="Verdana"/>
          <w:b w:val="false"/>
          <w:bCs w:val="false"/>
          <w:sz w:val="20"/>
          <w:szCs w:val="20"/>
          <w:lang w:val="en-US"/>
        </w:rPr>
        <w:t>about this innovative green energy technology and want to learn more,</w:t>
      </w:r>
      <w:r>
        <w:rPr>
          <w:rFonts w:ascii="Verdana" w:hAnsi="Verdana"/>
          <w:b w:val="false"/>
          <w:bCs w:val="false"/>
          <w:sz w:val="20"/>
          <w:szCs w:val="20"/>
          <w:lang w:val="en-US"/>
        </w:rPr>
        <w:t xml:space="preserve"> ComSos website</w:t>
      </w:r>
      <w:r>
        <w:rPr>
          <w:rFonts w:ascii="Verdana" w:hAnsi="Verdana"/>
          <w:b w:val="false"/>
          <w:bCs w:val="false"/>
          <w:sz w:val="20"/>
          <w:szCs w:val="20"/>
          <w:lang w:val="en-US"/>
        </w:rPr>
        <w:t xml:space="preserve"> </w:t>
      </w:r>
      <w:r>
        <w:rPr>
          <w:rFonts w:ascii="Verdana" w:hAnsi="Verdana"/>
          <w:b w:val="false"/>
          <w:bCs w:val="false"/>
          <w:sz w:val="20"/>
          <w:szCs w:val="20"/>
          <w:lang w:val="en-US"/>
        </w:rPr>
        <w:t>is updated</w:t>
      </w:r>
      <w:r>
        <w:rPr>
          <w:rFonts w:ascii="Verdana" w:hAnsi="Verdana"/>
          <w:b w:val="false"/>
          <w:bCs w:val="false"/>
          <w:sz w:val="20"/>
          <w:szCs w:val="20"/>
          <w:lang w:val="en-US"/>
        </w:rPr>
        <w:t xml:space="preserve"> </w:t>
      </w:r>
      <w:r>
        <w:rPr>
          <w:rFonts w:ascii="Verdana" w:hAnsi="Verdana"/>
          <w:b w:val="false"/>
          <w:bCs w:val="false"/>
          <w:sz w:val="20"/>
          <w:szCs w:val="20"/>
          <w:lang w:val="en-US"/>
        </w:rPr>
        <w:t>with</w:t>
      </w:r>
      <w:r>
        <w:rPr>
          <w:rFonts w:ascii="Verdana" w:hAnsi="Verdana"/>
          <w:b w:val="false"/>
          <w:bCs w:val="false"/>
          <w:sz w:val="20"/>
          <w:szCs w:val="20"/>
          <w:lang w:val="en-US"/>
        </w:rPr>
        <w:t xml:space="preserve"> the latest project news, </w:t>
      </w:r>
      <w:r>
        <w:rPr>
          <w:rFonts w:ascii="Verdana" w:hAnsi="Verdana"/>
          <w:b w:val="false"/>
          <w:bCs w:val="false"/>
          <w:sz w:val="20"/>
          <w:szCs w:val="20"/>
          <w:lang w:val="en-US"/>
        </w:rPr>
        <w:t xml:space="preserve">and a </w:t>
      </w:r>
      <w:r>
        <w:rPr>
          <w:rFonts w:ascii="Verdana" w:hAnsi="Verdana"/>
          <w:b w:val="false"/>
          <w:bCs w:val="false"/>
          <w:sz w:val="20"/>
          <w:szCs w:val="20"/>
          <w:lang w:val="en-US"/>
        </w:rPr>
        <w:t xml:space="preserve">contact </w:t>
      </w:r>
      <w:r>
        <w:rPr>
          <w:rFonts w:ascii="Verdana" w:hAnsi="Verdana"/>
          <w:b w:val="false"/>
          <w:bCs w:val="false"/>
          <w:sz w:val="20"/>
          <w:szCs w:val="20"/>
          <w:lang w:val="en-US"/>
        </w:rPr>
        <w:t>form</w:t>
      </w:r>
      <w:r>
        <w:rPr>
          <w:rFonts w:ascii="Verdana" w:hAnsi="Verdana"/>
          <w:b w:val="false"/>
          <w:bCs w:val="false"/>
          <w:sz w:val="20"/>
          <w:szCs w:val="20"/>
          <w:lang w:val="en-US"/>
        </w:rPr>
        <w:t xml:space="preserve"> </w:t>
      </w:r>
      <w:r>
        <w:rPr>
          <w:rFonts w:ascii="Verdana" w:hAnsi="Verdana"/>
          <w:b w:val="false"/>
          <w:bCs w:val="false"/>
          <w:sz w:val="20"/>
          <w:szCs w:val="20"/>
          <w:lang w:val="en-US"/>
        </w:rPr>
        <w:t xml:space="preserve">to reach extra </w:t>
      </w:r>
      <w:r>
        <w:rPr>
          <w:rFonts w:ascii="Verdana" w:hAnsi="Verdana"/>
          <w:b w:val="false"/>
          <w:bCs w:val="false"/>
          <w:sz w:val="20"/>
          <w:szCs w:val="20"/>
          <w:lang w:val="en-US"/>
        </w:rPr>
        <w:t>information</w:t>
      </w:r>
      <w:r>
        <w:rPr>
          <w:rFonts w:ascii="Verdana" w:hAnsi="Verdana"/>
          <w:b w:val="false"/>
          <w:bCs w:val="false"/>
          <w:sz w:val="20"/>
          <w:szCs w:val="20"/>
          <w:lang w:val="en-US"/>
        </w:rPr>
        <w:t>s</w:t>
      </w:r>
      <w:r>
        <w:rPr>
          <w:rFonts w:ascii="Verdana" w:hAnsi="Verdana"/>
          <w:b w:val="false"/>
          <w:bCs w:val="false"/>
          <w:sz w:val="20"/>
          <w:szCs w:val="20"/>
          <w:lang w:val="en-US"/>
        </w:rPr>
        <w:t xml:space="preserve"> </w:t>
      </w:r>
      <w:r>
        <w:rPr>
          <w:rFonts w:ascii="Verdana" w:hAnsi="Verdana"/>
          <w:b w:val="false"/>
          <w:bCs w:val="false"/>
          <w:sz w:val="20"/>
          <w:szCs w:val="20"/>
          <w:lang w:val="en-US"/>
        </w:rPr>
        <w:t xml:space="preserve">on how to </w:t>
      </w:r>
      <w:r>
        <w:rPr>
          <w:rFonts w:ascii="Verdana" w:hAnsi="Verdana"/>
          <w:b w:val="false"/>
          <w:bCs w:val="false"/>
          <w:sz w:val="20"/>
          <w:szCs w:val="20"/>
          <w:lang w:val="en-US"/>
        </w:rPr>
        <w:t xml:space="preserve">join </w:t>
      </w:r>
      <w:r>
        <w:rPr>
          <w:rFonts w:ascii="Verdana" w:hAnsi="Verdana"/>
          <w:b w:val="false"/>
          <w:bCs w:val="false"/>
          <w:sz w:val="20"/>
          <w:szCs w:val="20"/>
          <w:lang w:val="en-US"/>
        </w:rPr>
        <w:t>the</w:t>
      </w:r>
      <w:r>
        <w:rPr>
          <w:rFonts w:ascii="Verdana" w:hAnsi="Verdana"/>
          <w:b w:val="false"/>
          <w:bCs w:val="false"/>
          <w:sz w:val="20"/>
          <w:szCs w:val="20"/>
          <w:lang w:val="en-US"/>
        </w:rPr>
        <w:t xml:space="preserve"> Industrial Advisory Board </w:t>
      </w:r>
      <w:r>
        <w:rPr>
          <w:rFonts w:ascii="Verdana" w:hAnsi="Verdana"/>
          <w:b w:val="false"/>
          <w:bCs w:val="false"/>
          <w:sz w:val="20"/>
          <w:szCs w:val="20"/>
          <w:lang w:val="en-US"/>
        </w:rPr>
        <w:t xml:space="preserve">in order </w:t>
      </w:r>
      <w:r>
        <w:rPr>
          <w:rFonts w:ascii="Verdana" w:hAnsi="Verdana"/>
          <w:b w:val="false"/>
          <w:bCs w:val="false"/>
          <w:sz w:val="20"/>
          <w:szCs w:val="20"/>
          <w:lang w:val="en-US"/>
        </w:rPr>
        <w:t>to contribute to th</w:t>
      </w:r>
      <w:r>
        <w:rPr>
          <w:rFonts w:ascii="Verdana" w:hAnsi="Verdana"/>
          <w:b w:val="false"/>
          <w:bCs w:val="false"/>
          <w:sz w:val="20"/>
          <w:szCs w:val="20"/>
          <w:lang w:val="en-US"/>
        </w:rPr>
        <w:t>e</w:t>
      </w:r>
      <w:r>
        <w:rPr>
          <w:rFonts w:ascii="Verdana" w:hAnsi="Verdana"/>
          <w:b w:val="false"/>
          <w:bCs w:val="false"/>
          <w:sz w:val="20"/>
          <w:szCs w:val="20"/>
          <w:lang w:val="en-US"/>
        </w:rPr>
        <w:t xml:space="preserve"> project.</w:t>
      </w:r>
    </w:p>
    <w:p>
      <w:pPr>
        <w:pStyle w:val="TextBody"/>
        <w:spacing w:lineRule="auto" w:line="240" w:before="0" w:after="0"/>
        <w:jc w:val="both"/>
        <w:rPr>
          <w:rFonts w:ascii="Verdana" w:hAnsi="Verdana"/>
          <w:sz w:val="20"/>
          <w:szCs w:val="20"/>
          <w:lang w:val="en-US"/>
        </w:rPr>
      </w:pPr>
      <w:r>
        <w:rPr/>
        <w:drawing>
          <wp:inline distT="0" distB="2540" distL="0" distR="0">
            <wp:extent cx="6119495" cy="4283710"/>
            <wp:effectExtent l="0" t="0" r="0" b="0"/>
            <wp:docPr id="1"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
                    <pic:cNvPicPr>
                      <a:picLocks noChangeAspect="1" noChangeArrowheads="1"/>
                    </pic:cNvPicPr>
                  </pic:nvPicPr>
                  <pic:blipFill>
                    <a:blip r:embed="rId2"/>
                    <a:stretch>
                      <a:fillRect/>
                    </a:stretch>
                  </pic:blipFill>
                  <pic:spPr bwMode="auto">
                    <a:xfrm>
                      <a:off x="0" y="0"/>
                      <a:ext cx="6119495" cy="4283710"/>
                    </a:xfrm>
                    <a:prstGeom prst="rect">
                      <a:avLst/>
                    </a:prstGeom>
                  </pic:spPr>
                </pic:pic>
              </a:graphicData>
            </a:graphic>
          </wp:inline>
        </w:drawing>
      </w:r>
    </w:p>
    <w:p>
      <w:pPr>
        <w:pStyle w:val="TextBody"/>
        <w:spacing w:lineRule="auto" w:line="240" w:before="0" w:after="0"/>
        <w:rPr>
          <w:rFonts w:ascii="Verdana" w:hAnsi="Verdana"/>
          <w:sz w:val="20"/>
          <w:szCs w:val="20"/>
          <w:lang w:val="en-US"/>
        </w:rPr>
      </w:pPr>
      <w:r>
        <w:rPr>
          <w:rFonts w:ascii="Verdana" w:hAnsi="Verdana"/>
          <w:sz w:val="20"/>
          <w:szCs w:val="20"/>
          <w:lang w:val="en-US"/>
        </w:rPr>
      </w:r>
    </w:p>
    <w:p>
      <w:pPr>
        <w:pStyle w:val="TextBody"/>
        <w:spacing w:lineRule="auto" w:line="240" w:before="0" w:after="0"/>
        <w:jc w:val="both"/>
        <w:rPr>
          <w:rFonts w:ascii="Verdana" w:hAnsi="Verdana"/>
          <w:sz w:val="20"/>
          <w:szCs w:val="20"/>
          <w:lang w:val="en-US"/>
        </w:rPr>
      </w:pPr>
      <w:r>
        <w:rPr>
          <w:rFonts w:ascii="Verdana" w:hAnsi="Verdana"/>
          <w:sz w:val="20"/>
          <w:szCs w:val="20"/>
          <w:lang w:val="en-US"/>
        </w:rPr>
        <w:t xml:space="preserve">ComSos is a 42-months project (2018-2021) with a budget of EUR 10.2 million, granted EUR 7.4 million under the EU’s Horizon 2020 programme managed by FCH-JU. </w:t>
      </w:r>
    </w:p>
    <w:p>
      <w:pPr>
        <w:pStyle w:val="TextBody"/>
        <w:spacing w:lineRule="auto" w:line="240" w:before="0" w:after="0"/>
        <w:jc w:val="both"/>
        <w:rPr>
          <w:lang w:val="en-US"/>
        </w:rPr>
      </w:pPr>
      <w:r>
        <w:rPr>
          <w:rFonts w:ascii="Verdana" w:hAnsi="Verdana"/>
          <w:sz w:val="20"/>
          <w:szCs w:val="20"/>
          <w:lang w:val="en-US"/>
        </w:rPr>
        <w:t>The project, coordinated by VTT, includes the following partners: Convion Oy (Finland), Sunfire GmbH (Germany), SOLIDpower SpA (Italy), Politecnico di Torino (Italy), Blueterra (The Netherlands), HTceramics SA (Switzerland).</w:t>
      </w:r>
    </w:p>
    <w:p>
      <w:pPr>
        <w:pStyle w:val="TextBody"/>
        <w:tabs>
          <w:tab w:val="left" w:pos="0" w:leader="none"/>
        </w:tabs>
        <w:spacing w:lineRule="auto" w:line="240" w:before="0" w:after="0"/>
        <w:jc w:val="both"/>
        <w:rPr>
          <w:rFonts w:ascii="Verdana" w:hAnsi="Verdana"/>
          <w:sz w:val="20"/>
          <w:szCs w:val="20"/>
          <w:lang w:val="en-US"/>
        </w:rPr>
      </w:pPr>
      <w:r>
        <w:rPr>
          <w:rFonts w:ascii="Verdana" w:hAnsi="Verdana"/>
          <w:sz w:val="20"/>
          <w:szCs w:val="20"/>
          <w:lang w:val="en-US"/>
        </w:rPr>
      </w:r>
    </w:p>
    <w:p>
      <w:pPr>
        <w:pStyle w:val="TextBody"/>
        <w:tabs>
          <w:tab w:val="left" w:pos="0" w:leader="none"/>
        </w:tabs>
        <w:spacing w:lineRule="auto" w:line="240" w:before="0" w:after="0"/>
        <w:jc w:val="both"/>
        <w:rPr>
          <w:rFonts w:ascii="Verdana" w:hAnsi="Verdana"/>
          <w:sz w:val="20"/>
          <w:szCs w:val="20"/>
          <w:lang w:val="en-US"/>
        </w:rPr>
      </w:pPr>
      <w:r>
        <w:rPr>
          <w:rFonts w:ascii="Verdana" w:hAnsi="Verdana"/>
          <w:sz w:val="20"/>
          <w:szCs w:val="20"/>
          <w:lang w:val="en-US"/>
        </w:rPr>
        <w:t xml:space="preserve"> </w:t>
      </w:r>
    </w:p>
    <w:p>
      <w:pPr>
        <w:pStyle w:val="TextBody"/>
        <w:spacing w:lineRule="auto" w:line="240" w:before="0" w:after="0"/>
        <w:jc w:val="both"/>
        <w:rPr>
          <w:rFonts w:ascii="Verdana" w:hAnsi="Verdana"/>
          <w:i/>
          <w:i/>
          <w:iCs/>
          <w:sz w:val="20"/>
          <w:szCs w:val="20"/>
          <w:lang w:val="en-US"/>
        </w:rPr>
      </w:pPr>
      <w:r>
        <w:rPr>
          <w:rFonts w:ascii="Verdana" w:hAnsi="Verdana"/>
          <w:i/>
          <w:iCs/>
          <w:sz w:val="20"/>
          <w:szCs w:val="20"/>
          <w:lang w:val="en-US"/>
        </w:rPr>
        <w:t xml:space="preserve">COMSOS has received funding from the Fuel Cells and Hydrogen 2 Joint Undertaking under grant agreement No 779481. This Joint Undertaking receives support from the European Union’s Horizon 2020 research and innovation programme, Hydrogen Europe and Hydrogen Europe research. </w:t>
      </w:r>
    </w:p>
    <w:p>
      <w:pPr>
        <w:pStyle w:val="TextBody"/>
        <w:spacing w:lineRule="auto" w:line="240" w:before="0" w:after="0"/>
        <w:jc w:val="both"/>
        <w:rPr>
          <w:rFonts w:ascii="Verdana" w:hAnsi="Verdana"/>
          <w:i/>
          <w:i/>
          <w:iCs/>
          <w:sz w:val="20"/>
          <w:szCs w:val="20"/>
          <w:lang w:val="en-US"/>
        </w:rPr>
      </w:pPr>
      <w:r>
        <w:rPr>
          <w:rFonts w:ascii="Verdana" w:hAnsi="Verdana"/>
          <w:i/>
          <w:iCs/>
          <w:sz w:val="20"/>
          <w:szCs w:val="20"/>
          <w:lang w:val="en-US"/>
        </w:rPr>
      </w:r>
    </w:p>
    <w:p>
      <w:pPr>
        <w:pStyle w:val="TextBody"/>
        <w:spacing w:lineRule="auto" w:line="240" w:before="0" w:after="0"/>
        <w:rPr>
          <w:rFonts w:ascii="Verdana" w:hAnsi="Verdana"/>
          <w:iCs/>
          <w:sz w:val="20"/>
          <w:szCs w:val="20"/>
          <w:lang w:val="en-US"/>
        </w:rPr>
      </w:pPr>
      <w:r>
        <w:rPr/>
        <w:drawing>
          <wp:inline distT="0" distB="0" distL="0" distR="0">
            <wp:extent cx="1079500" cy="720090"/>
            <wp:effectExtent l="0" t="0" r="0" b="0"/>
            <wp:docPr id="2"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descr=""/>
                    <pic:cNvPicPr>
                      <a:picLocks noChangeAspect="1" noChangeArrowheads="1"/>
                    </pic:cNvPicPr>
                  </pic:nvPicPr>
                  <pic:blipFill>
                    <a:blip r:embed="rId3"/>
                    <a:stretch>
                      <a:fillRect/>
                    </a:stretch>
                  </pic:blipFill>
                  <pic:spPr bwMode="auto">
                    <a:xfrm>
                      <a:off x="0" y="0"/>
                      <a:ext cx="1079500" cy="720090"/>
                    </a:xfrm>
                    <a:prstGeom prst="rect">
                      <a:avLst/>
                    </a:prstGeom>
                  </pic:spPr>
                </pic:pic>
              </a:graphicData>
            </a:graphic>
          </wp:inline>
        </w:drawing>
      </w:r>
      <w:r>
        <w:rPr/>
        <w:drawing>
          <wp:inline distT="0" distB="0" distL="0" distR="0">
            <wp:extent cx="720090" cy="720090"/>
            <wp:effectExtent l="0" t="0" r="0" b="0"/>
            <wp:docPr id="3"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6" descr=""/>
                    <pic:cNvPicPr>
                      <a:picLocks noChangeAspect="1" noChangeArrowheads="1"/>
                    </pic:cNvPicPr>
                  </pic:nvPicPr>
                  <pic:blipFill>
                    <a:blip r:embed="rId4"/>
                    <a:stretch>
                      <a:fillRect/>
                    </a:stretch>
                  </pic:blipFill>
                  <pic:spPr bwMode="auto">
                    <a:xfrm>
                      <a:off x="0" y="0"/>
                      <a:ext cx="720090" cy="720090"/>
                    </a:xfrm>
                    <a:prstGeom prst="rect">
                      <a:avLst/>
                    </a:prstGeom>
                  </pic:spPr>
                </pic:pic>
              </a:graphicData>
            </a:graphic>
          </wp:inline>
        </w:drawing>
      </w:r>
    </w:p>
    <w:p>
      <w:pPr>
        <w:pStyle w:val="TextBody"/>
        <w:spacing w:lineRule="auto" w:line="240" w:before="0" w:after="0"/>
        <w:rPr>
          <w:rFonts w:ascii="Verdana" w:hAnsi="Verdana"/>
          <w:iCs/>
          <w:sz w:val="20"/>
          <w:szCs w:val="20"/>
          <w:lang w:val="en-US"/>
        </w:rPr>
      </w:pPr>
      <w:bookmarkStart w:id="0" w:name="_GoBack"/>
      <w:bookmarkStart w:id="1" w:name="_GoBack"/>
      <w:bookmarkEnd w:id="1"/>
      <w:r>
        <w:rPr>
          <w:rFonts w:ascii="Verdana" w:hAnsi="Verdana"/>
          <w:iCs/>
          <w:sz w:val="20"/>
          <w:szCs w:val="20"/>
          <w:lang w:val="en-US"/>
        </w:rPr>
      </w:r>
    </w:p>
    <w:p>
      <w:pPr>
        <w:pStyle w:val="TextBody"/>
        <w:spacing w:lineRule="auto" w:line="240" w:before="0" w:after="0"/>
        <w:rPr>
          <w:rFonts w:ascii="Verdana" w:hAnsi="Verdana"/>
          <w:iCs/>
          <w:sz w:val="20"/>
          <w:szCs w:val="20"/>
          <w:lang w:val="en-US"/>
        </w:rPr>
      </w:pPr>
      <w:r>
        <w:rPr>
          <w:rFonts w:ascii="Verdana" w:hAnsi="Verdana"/>
          <w:iCs/>
          <w:sz w:val="20"/>
          <w:szCs w:val="20"/>
          <w:lang w:val="en-US"/>
        </w:rPr>
      </w:r>
    </w:p>
    <w:p>
      <w:pPr>
        <w:pStyle w:val="TextBody"/>
        <w:spacing w:lineRule="auto" w:line="240" w:before="0" w:after="0"/>
        <w:rPr>
          <w:rFonts w:ascii="Verdana" w:hAnsi="Verdana"/>
          <w:iCs/>
          <w:sz w:val="20"/>
          <w:szCs w:val="20"/>
          <w:lang w:val="en-US"/>
        </w:rPr>
      </w:pPr>
      <w:r>
        <w:rPr>
          <w:rFonts w:ascii="Verdana" w:hAnsi="Verdana"/>
          <w:iCs/>
          <w:sz w:val="20"/>
          <w:szCs w:val="20"/>
          <w:lang w:val="en-US"/>
        </w:rPr>
      </w:r>
    </w:p>
    <w:p>
      <w:pPr>
        <w:pStyle w:val="TextBody"/>
        <w:spacing w:lineRule="auto" w:line="240" w:before="0" w:after="0"/>
        <w:rPr>
          <w:rFonts w:ascii="Verdana" w:hAnsi="Verdana"/>
          <w:b/>
          <w:b/>
          <w:sz w:val="20"/>
          <w:szCs w:val="20"/>
          <w:lang w:val="en-US"/>
        </w:rPr>
      </w:pPr>
      <w:r>
        <w:rPr>
          <w:rFonts w:ascii="Verdana" w:hAnsi="Verdana"/>
          <w:b/>
          <w:sz w:val="20"/>
          <w:szCs w:val="20"/>
          <w:lang w:val="en-US"/>
        </w:rPr>
        <w:t>Contacts:</w:t>
      </w:r>
    </w:p>
    <w:p>
      <w:pPr>
        <w:pStyle w:val="TextBody"/>
        <w:spacing w:lineRule="auto" w:line="240" w:before="0" w:after="0"/>
        <w:rPr/>
      </w:pPr>
      <w:r>
        <w:rPr>
          <w:rFonts w:ascii="Verdana" w:hAnsi="Verdana"/>
          <w:sz w:val="20"/>
          <w:szCs w:val="20"/>
          <w:lang w:val="en-US"/>
        </w:rPr>
        <w:t xml:space="preserve">Website – </w:t>
      </w:r>
      <w:hyperlink r:id="rId5">
        <w:r>
          <w:rPr>
            <w:rStyle w:val="InternetLink"/>
            <w:rFonts w:ascii="Verdana" w:hAnsi="Verdana"/>
            <w:sz w:val="20"/>
            <w:szCs w:val="20"/>
            <w:lang w:val="en-US"/>
          </w:rPr>
          <w:t>www.comsos.eu</w:t>
        </w:r>
      </w:hyperlink>
    </w:p>
    <w:p>
      <w:pPr>
        <w:pStyle w:val="TextBody"/>
        <w:spacing w:lineRule="auto" w:line="240" w:before="0" w:after="0"/>
        <w:rPr/>
      </w:pPr>
      <w:r>
        <w:rPr>
          <w:rFonts w:ascii="Verdana" w:hAnsi="Verdana"/>
          <w:sz w:val="20"/>
          <w:szCs w:val="20"/>
          <w:lang w:val="en-US"/>
        </w:rPr>
        <w:t xml:space="preserve">Email – </w:t>
      </w:r>
      <w:hyperlink r:id="rId6">
        <w:r>
          <w:rPr>
            <w:rStyle w:val="InternetLink"/>
            <w:rFonts w:ascii="Verdana" w:hAnsi="Verdana"/>
            <w:sz w:val="20"/>
            <w:szCs w:val="20"/>
            <w:lang w:val="en-US"/>
          </w:rPr>
          <w:t>comsos@polito.it</w:t>
        </w:r>
      </w:hyperlink>
    </w:p>
    <w:p>
      <w:pPr>
        <w:pStyle w:val="TextBody"/>
        <w:spacing w:lineRule="auto" w:line="240" w:before="0" w:after="0"/>
        <w:rPr/>
      </w:pPr>
      <w:r>
        <w:rPr/>
        <w:drawing>
          <wp:inline distT="0" distB="0" distL="0" distR="0">
            <wp:extent cx="3041650" cy="1080135"/>
            <wp:effectExtent l="0" t="0" r="0" b="0"/>
            <wp:docPr id="4"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8" descr=""/>
                    <pic:cNvPicPr>
                      <a:picLocks noChangeAspect="1" noChangeArrowheads="1"/>
                    </pic:cNvPicPr>
                  </pic:nvPicPr>
                  <pic:blipFill>
                    <a:blip r:embed="rId7"/>
                    <a:stretch>
                      <a:fillRect/>
                    </a:stretch>
                  </pic:blipFill>
                  <pic:spPr bwMode="auto">
                    <a:xfrm>
                      <a:off x="0" y="0"/>
                      <a:ext cx="3041650" cy="1080135"/>
                    </a:xfrm>
                    <a:prstGeom prst="rect">
                      <a:avLst/>
                    </a:prstGeom>
                  </pic:spPr>
                </pic:pic>
              </a:graphicData>
            </a:graphic>
          </wp:inline>
        </w:drawing>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Segoe UI">
    <w:charset w:val="01"/>
    <w:family w:val="roman"/>
    <w:pitch w:val="variable"/>
  </w:font>
  <w:font w:name="Liberation Sans">
    <w:altName w:val="Arial"/>
    <w:charset w:val="01"/>
    <w:family w:val="roman"/>
    <w:pitch w:val="variable"/>
  </w:font>
  <w:font w:name="Verdana">
    <w:charset w:val="01"/>
    <w:family w:val="roman"/>
    <w:pitch w:val="variable"/>
  </w:font>
</w:fonts>
</file>

<file path=word/settings.xml><?xml version="1.0" encoding="utf-8"?>
<w:settings xmlns:w="http://schemas.openxmlformats.org/wordprocessingml/2006/main">
  <w:zoom w:percent="100"/>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Cs w:val="24"/>
        <w:lang w:val="it-IT"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Liberation Serif" w:hAnsi="Liberation Serif" w:eastAsia="Arial Unicode MS" w:cs="Arial Unicode MS"/>
      <w:color w:val="00000A"/>
      <w:sz w:val="24"/>
      <w:szCs w:val="24"/>
      <w:lang w:val="it-IT" w:eastAsia="zh-CN" w:bidi="hi-IN"/>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InternetLink" w:customStyle="1">
    <w:name w:val="Internet Link"/>
    <w:basedOn w:val="DefaultParagraphFont"/>
    <w:uiPriority w:val="99"/>
    <w:unhideWhenUsed/>
    <w:rsid w:val="004f3ff2"/>
    <w:rPr>
      <w:color w:val="0563C1" w:themeColor="hyperlink"/>
      <w:u w:val="single"/>
    </w:rPr>
  </w:style>
  <w:style w:type="character" w:styleId="TestofumettoCarattere" w:customStyle="1">
    <w:name w:val="Testo fumetto Carattere"/>
    <w:basedOn w:val="DefaultParagraphFont"/>
    <w:link w:val="Testofumetto"/>
    <w:uiPriority w:val="99"/>
    <w:semiHidden/>
    <w:qFormat/>
    <w:rsid w:val="00792727"/>
    <w:rPr>
      <w:rFonts w:ascii="Segoe UI" w:hAnsi="Segoe UI" w:cs="Mangal"/>
      <w:sz w:val="18"/>
      <w:szCs w:val="16"/>
    </w:rPr>
  </w:style>
  <w:style w:type="character" w:styleId="ListLabel1" w:customStyle="1">
    <w:name w:val="ListLabel 1"/>
    <w:qFormat/>
    <w:rPr>
      <w:rFonts w:cs="OpenSymbol"/>
    </w:rPr>
  </w:style>
  <w:style w:type="character" w:styleId="ListLabel2" w:customStyle="1">
    <w:name w:val="ListLabel 2"/>
    <w:qFormat/>
    <w:rPr>
      <w:rFonts w:cs="OpenSymbol"/>
    </w:rPr>
  </w:style>
  <w:style w:type="character" w:styleId="ListLabel3" w:customStyle="1">
    <w:name w:val="ListLabel 3"/>
    <w:qFormat/>
    <w:rPr>
      <w:rFonts w:cs="OpenSymbol"/>
    </w:rPr>
  </w:style>
  <w:style w:type="character" w:styleId="ListLabel4" w:customStyle="1">
    <w:name w:val="ListLabel 4"/>
    <w:qFormat/>
    <w:rPr>
      <w:rFonts w:cs="OpenSymbol"/>
    </w:rPr>
  </w:style>
  <w:style w:type="character" w:styleId="ListLabel5" w:customStyle="1">
    <w:name w:val="ListLabel 5"/>
    <w:qFormat/>
    <w:rPr>
      <w:rFonts w:cs="OpenSymbol"/>
    </w:rPr>
  </w:style>
  <w:style w:type="character" w:styleId="ListLabel6" w:customStyle="1">
    <w:name w:val="ListLabel 6"/>
    <w:qFormat/>
    <w:rPr>
      <w:rFonts w:cs="OpenSymbol"/>
    </w:rPr>
  </w:style>
  <w:style w:type="character" w:styleId="ListLabel7" w:customStyle="1">
    <w:name w:val="ListLabel 7"/>
    <w:qFormat/>
    <w:rPr>
      <w:rFonts w:cs="OpenSymbol"/>
    </w:rPr>
  </w:style>
  <w:style w:type="character" w:styleId="ListLabel8" w:customStyle="1">
    <w:name w:val="ListLabel 8"/>
    <w:qFormat/>
    <w:rPr>
      <w:rFonts w:cs="OpenSymbol"/>
    </w:rPr>
  </w:style>
  <w:style w:type="character" w:styleId="ListLabel9" w:customStyle="1">
    <w:name w:val="ListLabel 9"/>
    <w:qFormat/>
    <w:rPr>
      <w:rFonts w:cs="OpenSymbol"/>
    </w:rPr>
  </w:style>
  <w:style w:type="character" w:styleId="Annotationreference">
    <w:name w:val="annotation reference"/>
    <w:basedOn w:val="DefaultParagraphFont"/>
    <w:uiPriority w:val="99"/>
    <w:semiHidden/>
    <w:unhideWhenUsed/>
    <w:qFormat/>
    <w:rsid w:val="001d15ce"/>
    <w:rPr>
      <w:sz w:val="16"/>
      <w:szCs w:val="16"/>
    </w:rPr>
  </w:style>
  <w:style w:type="character" w:styleId="TestocommentoCarattere" w:customStyle="1">
    <w:name w:val="Testo commento Carattere"/>
    <w:basedOn w:val="DefaultParagraphFont"/>
    <w:link w:val="Testocommento"/>
    <w:uiPriority w:val="99"/>
    <w:semiHidden/>
    <w:qFormat/>
    <w:rsid w:val="001d15ce"/>
    <w:rPr>
      <w:rFonts w:cs="Mangal"/>
      <w:sz w:val="20"/>
      <w:szCs w:val="18"/>
    </w:rPr>
  </w:style>
  <w:style w:type="character" w:styleId="SoggettocommentoCarattere" w:customStyle="1">
    <w:name w:val="Soggetto commento Carattere"/>
    <w:basedOn w:val="TestocommentoCarattere"/>
    <w:link w:val="Soggettocommento"/>
    <w:uiPriority w:val="99"/>
    <w:semiHidden/>
    <w:qFormat/>
    <w:rsid w:val="001d15ce"/>
    <w:rPr>
      <w:rFonts w:cs="Mangal"/>
      <w:b/>
      <w:bCs/>
      <w:sz w:val="20"/>
      <w:szCs w:val="18"/>
    </w:rPr>
  </w:style>
  <w:style w:type="paragraph" w:styleId="Heading" w:customStyle="1">
    <w:name w:val="Heading"/>
    <w:basedOn w:val="Normal"/>
    <w:next w:val="TextBody"/>
    <w:qFormat/>
    <w:pPr>
      <w:keepNext/>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BalloonText">
    <w:name w:val="Balloon Text"/>
    <w:basedOn w:val="Normal"/>
    <w:link w:val="TestofumettoCarattere"/>
    <w:uiPriority w:val="99"/>
    <w:semiHidden/>
    <w:unhideWhenUsed/>
    <w:qFormat/>
    <w:rsid w:val="00792727"/>
    <w:pPr/>
    <w:rPr>
      <w:rFonts w:ascii="Segoe UI" w:hAnsi="Segoe UI" w:cs="Mangal"/>
      <w:sz w:val="18"/>
      <w:szCs w:val="16"/>
    </w:rPr>
  </w:style>
  <w:style w:type="paragraph" w:styleId="Annotationtext">
    <w:name w:val="annotation text"/>
    <w:basedOn w:val="Normal"/>
    <w:link w:val="TestocommentoCarattere"/>
    <w:uiPriority w:val="99"/>
    <w:semiHidden/>
    <w:unhideWhenUsed/>
    <w:qFormat/>
    <w:rsid w:val="001d15ce"/>
    <w:pPr/>
    <w:rPr>
      <w:rFonts w:cs="Mangal"/>
      <w:sz w:val="20"/>
      <w:szCs w:val="18"/>
    </w:rPr>
  </w:style>
  <w:style w:type="paragraph" w:styleId="Annotationsubject">
    <w:name w:val="annotation subject"/>
    <w:basedOn w:val="Annotationtext"/>
    <w:link w:val="SoggettocommentoCarattere"/>
    <w:uiPriority w:val="99"/>
    <w:semiHidden/>
    <w:unhideWhenUsed/>
    <w:qFormat/>
    <w:rsid w:val="001d15ce"/>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www.comsos.eu/" TargetMode="External"/><Relationship Id="rId6" Type="http://schemas.openxmlformats.org/officeDocument/2006/relationships/hyperlink" Target="mailto:comsos@polito.it" TargetMode="External"/><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Application>LibreOffice/5.3.2.2$MacOSX_X86_64 LibreOffice_project/6cd4f1ef626f15116896b1d8e1398b56da0d0ee1</Application>
  <Pages>2</Pages>
  <Words>713</Words>
  <Characters>4008</Characters>
  <CharactersWithSpaces>4719</CharactersWithSpaces>
  <Paragraphs>18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2019-01-31T15:39:00Z</dcterms:created>
  <dc:creator>Massimo Santarelli</dc:creator>
  <dc:description/>
  <dc:language>it-IT</dc:language>
  <cp:lastModifiedBy/>
  <dcterms:modified xsi:type="dcterms:W3CDTF">2019-02-04T14:46:30Z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